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399E" w14:textId="232D4B6D" w:rsidR="00CD42B4" w:rsidRDefault="009D24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9BDD7" wp14:editId="0568BACF">
                <wp:simplePos x="0" y="0"/>
                <wp:positionH relativeFrom="column">
                  <wp:posOffset>1628775</wp:posOffset>
                </wp:positionH>
                <wp:positionV relativeFrom="paragraph">
                  <wp:posOffset>-419100</wp:posOffset>
                </wp:positionV>
                <wp:extent cx="491490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869C" w14:textId="09A1963F" w:rsidR="00CD42B4" w:rsidRPr="00CD42B4" w:rsidRDefault="009D24CD" w:rsidP="009D24CD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Model Design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9BD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-33pt;width:3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vYDQ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" filled="f" stroked="f">
                <v:textbox style="mso-fit-shape-to-text:t">
                  <w:txbxContent>
                    <w:p w14:paraId="381A869C" w14:textId="09A1963F" w:rsidR="00CD42B4" w:rsidRPr="00CD42B4" w:rsidRDefault="009D24CD" w:rsidP="009D24CD"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Model Design Checklist</w:t>
                      </w:r>
                    </w:p>
                  </w:txbxContent>
                </v:textbox>
              </v:shape>
            </w:pict>
          </mc:Fallback>
        </mc:AlternateContent>
      </w:r>
      <w:r w:rsidR="002046DB" w:rsidRPr="002046DB">
        <w:rPr>
          <w:noProof/>
        </w:rPr>
        <w:drawing>
          <wp:anchor distT="0" distB="0" distL="114300" distR="114300" simplePos="0" relativeHeight="251662336" behindDoc="0" locked="0" layoutInCell="1" allowOverlap="1" wp14:anchorId="72EBF917" wp14:editId="1BB35929">
            <wp:simplePos x="0" y="0"/>
            <wp:positionH relativeFrom="margin">
              <wp:posOffset>-28575</wp:posOffset>
            </wp:positionH>
            <wp:positionV relativeFrom="paragraph">
              <wp:posOffset>-542925</wp:posOffset>
            </wp:positionV>
            <wp:extent cx="6858000" cy="822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365D3" w14:textId="77777777" w:rsidR="00CD42B4" w:rsidRDefault="00CD42B4"/>
    <w:p w14:paraId="2E5D603B" w14:textId="7AD191C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 xml:space="preserve">We recommend reviewing the checklist below to help identify any issues with your design before attempting to 3D print. </w:t>
      </w:r>
      <w:r>
        <w:rPr>
          <w:rFonts w:cstheme="minorHAnsi"/>
          <w:sz w:val="24"/>
          <w:szCs w:val="24"/>
        </w:rPr>
        <w:t>The sizes listed for the various design features are CBM recommendations for printing on plastic FDM printers, resin SLA printers and nylon SLS printers.</w:t>
      </w:r>
    </w:p>
    <w:p w14:paraId="4F41874E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1FF0AD4E" w14:textId="34B9C153" w:rsid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553A57EE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6F354760" w14:textId="54D26678" w:rsidR="009D24CD" w:rsidRPr="009D24CD" w:rsidRDefault="009D24CD" w:rsidP="009D24C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CD">
        <w:rPr>
          <w:rFonts w:cstheme="minorHAnsi"/>
          <w:b/>
          <w:bCs/>
          <w:sz w:val="24"/>
          <w:szCs w:val="24"/>
        </w:rPr>
        <w:t>Alpha Carbon Bac</w:t>
      </w:r>
      <w:r w:rsidRPr="009D24CD">
        <w:rPr>
          <w:rFonts w:cstheme="minorHAnsi"/>
          <w:b/>
          <w:bCs/>
          <w:sz w:val="24"/>
          <w:szCs w:val="24"/>
        </w:rPr>
        <w:t>k</w:t>
      </w:r>
      <w:r w:rsidRPr="009D24CD">
        <w:rPr>
          <w:rFonts w:cstheme="minorHAnsi"/>
          <w:b/>
          <w:bCs/>
          <w:sz w:val="24"/>
          <w:szCs w:val="24"/>
        </w:rPr>
        <w:t>bone</w:t>
      </w:r>
    </w:p>
    <w:p w14:paraId="6A0016FF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207F2ED9" w14:textId="77777777" w:rsidR="009D24CD" w:rsidRPr="009D24CD" w:rsidRDefault="009D24CD" w:rsidP="009D24CD">
      <w:pPr>
        <w:spacing w:after="0" w:line="24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 xml:space="preserve">All </w:t>
      </w:r>
      <w:proofErr w:type="spellStart"/>
      <w:r w:rsidRPr="009D24CD">
        <w:rPr>
          <w:rFonts w:cstheme="minorHAnsi"/>
          <w:sz w:val="24"/>
          <w:szCs w:val="24"/>
        </w:rPr>
        <w:t>bacbones</w:t>
      </w:r>
      <w:proofErr w:type="spellEnd"/>
      <w:r w:rsidRPr="009D24CD">
        <w:rPr>
          <w:rFonts w:cstheme="minorHAnsi"/>
          <w:sz w:val="24"/>
          <w:szCs w:val="24"/>
        </w:rPr>
        <w:t xml:space="preserve"> have a size of 1.25</w:t>
      </w:r>
    </w:p>
    <w:p w14:paraId="734D2B93" w14:textId="26B1E815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</w:p>
    <w:p w14:paraId="728DA5B4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3F1ADB9C" w14:textId="77777777" w:rsidR="009D24CD" w:rsidRPr="009D24CD" w:rsidRDefault="009D24CD" w:rsidP="009D24C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CD">
        <w:rPr>
          <w:rFonts w:cstheme="minorHAnsi"/>
          <w:b/>
          <w:bCs/>
          <w:sz w:val="24"/>
          <w:szCs w:val="24"/>
        </w:rPr>
        <w:t>Molecular Bonds:</w:t>
      </w:r>
    </w:p>
    <w:p w14:paraId="0467B4D6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19911BF5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Hydrogen bonds are only displayed in beta sheets, not alpha helices</w:t>
      </w:r>
    </w:p>
    <w:p w14:paraId="6EEA51E7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Hydrogen bonds are set “solid”</w:t>
      </w:r>
    </w:p>
    <w:p w14:paraId="2E550B32" w14:textId="34315423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Hydrogen bonds and disulfide bonds are set “to backbone”</w:t>
      </w:r>
    </w:p>
    <w:p w14:paraId="0F9B55CF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Hydrogen bonds and disulfide bonds have a size of 0.75</w:t>
      </w:r>
    </w:p>
    <w:p w14:paraId="5537951A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Identify and remove “triangle” hydrogen bonds (see image to the right)</w:t>
      </w: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  <w:r w:rsidRPr="009D24CD">
        <w:rPr>
          <w:rFonts w:cstheme="minorHAnsi"/>
          <w:sz w:val="24"/>
          <w:szCs w:val="24"/>
        </w:rPr>
        <w:tab/>
      </w:r>
    </w:p>
    <w:p w14:paraId="505FFB68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All molecular bonds have a subtle color</w:t>
      </w:r>
    </w:p>
    <w:p w14:paraId="0D3CB361" w14:textId="77777777" w:rsidR="009D24CD" w:rsidRPr="009D24CD" w:rsidRDefault="009D24CD" w:rsidP="009D24CD">
      <w:pPr>
        <w:spacing w:after="0" w:line="240" w:lineRule="auto"/>
        <w:ind w:left="3690"/>
        <w:rPr>
          <w:rFonts w:cstheme="minorHAnsi"/>
          <w:sz w:val="24"/>
          <w:szCs w:val="24"/>
        </w:rPr>
      </w:pPr>
    </w:p>
    <w:p w14:paraId="36E85506" w14:textId="731E2568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ab/>
      </w:r>
    </w:p>
    <w:p w14:paraId="0A129077" w14:textId="77777777" w:rsidR="009D24CD" w:rsidRPr="009D24CD" w:rsidRDefault="009D24CD" w:rsidP="009D24C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CD">
        <w:rPr>
          <w:rFonts w:cstheme="minorHAnsi"/>
          <w:b/>
          <w:bCs/>
          <w:sz w:val="24"/>
          <w:szCs w:val="24"/>
        </w:rPr>
        <w:t>Sidechains:</w:t>
      </w:r>
    </w:p>
    <w:p w14:paraId="053CCB13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084740F7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Sidechains have a size of 0.75</w:t>
      </w:r>
    </w:p>
    <w:p w14:paraId="30940BE3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Sidechains do not have “bumpy backbones”</w:t>
      </w:r>
    </w:p>
    <w:p w14:paraId="3A98DA3C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Only sidechains that help communicate your molecular story are shown</w:t>
      </w:r>
    </w:p>
    <w:p w14:paraId="14F8F050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2D27EF9A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701FA5CF" w14:textId="77777777" w:rsidR="009D24CD" w:rsidRPr="009D24CD" w:rsidRDefault="009D24CD" w:rsidP="009D24C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CD">
        <w:rPr>
          <w:rFonts w:cstheme="minorHAnsi"/>
          <w:b/>
          <w:bCs/>
          <w:sz w:val="24"/>
          <w:szCs w:val="24"/>
        </w:rPr>
        <w:t>Support Struts:</w:t>
      </w:r>
    </w:p>
    <w:p w14:paraId="0928DF41" w14:textId="77777777" w:rsidR="009D24CD" w:rsidRPr="009D24CD" w:rsidRDefault="009D24CD" w:rsidP="009D24CD">
      <w:pPr>
        <w:spacing w:after="0" w:line="240" w:lineRule="auto"/>
        <w:rPr>
          <w:rFonts w:cstheme="minorHAnsi"/>
          <w:sz w:val="24"/>
          <w:szCs w:val="24"/>
        </w:rPr>
      </w:pPr>
    </w:p>
    <w:p w14:paraId="00096735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Support struts are added to all protein chains</w:t>
      </w:r>
    </w:p>
    <w:p w14:paraId="03C8FE46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Individual struts are added to connect any nucleic acids or small molecules</w:t>
      </w:r>
    </w:p>
    <w:p w14:paraId="50CF88BD" w14:textId="77777777" w:rsidR="009D24CD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Struts do not cut through key sidechains or small molecules</w:t>
      </w:r>
    </w:p>
    <w:p w14:paraId="11640AED" w14:textId="3A4C29F1" w:rsidR="00CD42B4" w:rsidRPr="009D24CD" w:rsidRDefault="009D24CD" w:rsidP="009D24CD">
      <w:pPr>
        <w:spacing w:after="0" w:line="360" w:lineRule="auto"/>
        <w:ind w:firstLine="540"/>
        <w:rPr>
          <w:rFonts w:cstheme="minorHAnsi"/>
          <w:sz w:val="24"/>
          <w:szCs w:val="24"/>
        </w:rPr>
      </w:pPr>
      <w:r w:rsidRPr="009D24CD">
        <w:rPr>
          <w:rFonts w:cstheme="minorHAnsi"/>
          <w:sz w:val="24"/>
          <w:szCs w:val="24"/>
        </w:rPr>
        <w:t>All struts have a subtle color</w:t>
      </w:r>
    </w:p>
    <w:p w14:paraId="4603E9E8" w14:textId="77777777" w:rsidR="00CD42B4" w:rsidRDefault="00CD42B4"/>
    <w:p w14:paraId="1F3151E2" w14:textId="77777777" w:rsidR="00CD42B4" w:rsidRDefault="00CD42B4"/>
    <w:p w14:paraId="421F1475" w14:textId="77777777" w:rsidR="00CD42B4" w:rsidRDefault="00CD42B4"/>
    <w:p w14:paraId="3D609FAD" w14:textId="77777777" w:rsidR="00CD42B4" w:rsidRDefault="00CD42B4"/>
    <w:p w14:paraId="3EDA7B27" w14:textId="77777777" w:rsidR="00CD42B4" w:rsidRDefault="00CD42B4"/>
    <w:p w14:paraId="5EB34FB2" w14:textId="77777777" w:rsidR="00CD42B4" w:rsidRDefault="00CD42B4"/>
    <w:p w14:paraId="20055946" w14:textId="77777777" w:rsidR="00CD42B4" w:rsidRDefault="00CD42B4"/>
    <w:p w14:paraId="083EA4B4" w14:textId="77777777" w:rsidR="00CD42B4" w:rsidRDefault="00CD42B4"/>
    <w:p w14:paraId="664151CC" w14:textId="77777777" w:rsidR="00DB1B9A" w:rsidRDefault="00DB1B9A"/>
    <w:sectPr w:rsidR="00DB1B9A" w:rsidSect="002046DB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D90FA" w14:textId="77777777" w:rsidR="00CD42B4" w:rsidRDefault="00CD42B4" w:rsidP="00CD42B4">
      <w:pPr>
        <w:spacing w:after="0" w:line="240" w:lineRule="auto"/>
      </w:pPr>
      <w:r>
        <w:separator/>
      </w:r>
    </w:p>
  </w:endnote>
  <w:endnote w:type="continuationSeparator" w:id="0">
    <w:p w14:paraId="0E0696EB" w14:textId="77777777" w:rsidR="00CD42B4" w:rsidRDefault="00CD42B4" w:rsidP="00CD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72AEB" w14:textId="77777777" w:rsidR="00CD42B4" w:rsidRDefault="00CD42B4">
    <w:pPr>
      <w:pStyle w:val="Footer"/>
    </w:pPr>
    <w:r w:rsidRPr="00CD42B4">
      <w:rPr>
        <w:noProof/>
      </w:rPr>
      <w:drawing>
        <wp:anchor distT="0" distB="0" distL="114300" distR="114300" simplePos="0" relativeHeight="251659264" behindDoc="0" locked="0" layoutInCell="1" allowOverlap="1" wp14:anchorId="03807370" wp14:editId="71D94AE1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6858000" cy="210312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1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AF48A" w14:textId="77777777" w:rsidR="00CD42B4" w:rsidRDefault="00CD42B4" w:rsidP="00CD42B4">
      <w:pPr>
        <w:spacing w:after="0" w:line="240" w:lineRule="auto"/>
      </w:pPr>
      <w:r>
        <w:separator/>
      </w:r>
    </w:p>
  </w:footnote>
  <w:footnote w:type="continuationSeparator" w:id="0">
    <w:p w14:paraId="304B4D24" w14:textId="77777777" w:rsidR="00CD42B4" w:rsidRDefault="00CD42B4" w:rsidP="00CD4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B4"/>
    <w:rsid w:val="002046DB"/>
    <w:rsid w:val="004A365A"/>
    <w:rsid w:val="009D24CD"/>
    <w:rsid w:val="00CD42B4"/>
    <w:rsid w:val="00CE3CA2"/>
    <w:rsid w:val="00DB1B9A"/>
    <w:rsid w:val="00F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3687"/>
  <w15:chartTrackingRefBased/>
  <w15:docId w15:val="{B9028FE7-95FC-4B2D-8F7F-A29D58A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2B4"/>
  </w:style>
  <w:style w:type="paragraph" w:styleId="Footer">
    <w:name w:val="footer"/>
    <w:basedOn w:val="Normal"/>
    <w:link w:val="FooterChar"/>
    <w:uiPriority w:val="99"/>
    <w:unhideWhenUsed/>
    <w:rsid w:val="00CD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School of Engineering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Hoelzer, Mark</dc:creator>
  <cp:keywords/>
  <dc:description/>
  <cp:lastModifiedBy>Hoelzer, Mark</cp:lastModifiedBy>
  <cp:revision>2</cp:revision>
  <dcterms:created xsi:type="dcterms:W3CDTF">2020-09-30T21:41:00Z</dcterms:created>
  <dcterms:modified xsi:type="dcterms:W3CDTF">2020-09-30T21:41:00Z</dcterms:modified>
</cp:coreProperties>
</file>